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0435"/>
      </w:tblGrid>
      <w:tr w:rsidR="004E2AD5" w:rsidRPr="00AD159D" w:rsidTr="00FA7778">
        <w:trPr>
          <w:trHeight w:val="96"/>
          <w:jc w:val="center"/>
        </w:trPr>
        <w:tc>
          <w:tcPr>
            <w:tcW w:w="10435" w:type="dxa"/>
            <w:shd w:val="clear" w:color="auto" w:fill="000000" w:themeFill="text1"/>
          </w:tcPr>
          <w:p w:rsidR="004E2AD5" w:rsidRPr="00E855BC" w:rsidRDefault="004E2AD5" w:rsidP="003222B8">
            <w:pPr>
              <w:pStyle w:val="Default"/>
              <w:jc w:val="center"/>
              <w:rPr>
                <w:rFonts w:ascii="Segoe UI" w:hAnsi="Segoe UI" w:cs="Segoe UI"/>
                <w:b/>
                <w:color w:val="auto"/>
                <w:szCs w:val="20"/>
              </w:rPr>
            </w:pPr>
            <w:bookmarkStart w:id="0" w:name="_GoBack" w:colFirst="0" w:colLast="0"/>
            <w:r w:rsidRPr="00E855BC">
              <w:rPr>
                <w:rFonts w:ascii="Segoe UI" w:hAnsi="Segoe UI" w:cs="Segoe UI"/>
                <w:b/>
                <w:color w:val="auto"/>
                <w:szCs w:val="20"/>
              </w:rPr>
              <w:t xml:space="preserve">Possible </w:t>
            </w:r>
            <w:r w:rsidR="003222B8" w:rsidRPr="00E855BC">
              <w:rPr>
                <w:rFonts w:ascii="Segoe UI" w:hAnsi="Segoe UI" w:cs="Segoe UI"/>
                <w:b/>
                <w:color w:val="auto"/>
                <w:szCs w:val="20"/>
              </w:rPr>
              <w:t xml:space="preserve">Online </w:t>
            </w:r>
            <w:r w:rsidRPr="00E855BC">
              <w:rPr>
                <w:rFonts w:ascii="Segoe UI" w:hAnsi="Segoe UI" w:cs="Segoe UI"/>
                <w:b/>
                <w:color w:val="auto"/>
                <w:szCs w:val="20"/>
              </w:rPr>
              <w:t>Resources</w:t>
            </w:r>
          </w:p>
        </w:tc>
      </w:tr>
      <w:bookmarkEnd w:id="0"/>
      <w:tr w:rsidR="004E2AD5" w:rsidRPr="004E2AD5" w:rsidTr="00FA7778">
        <w:trPr>
          <w:trHeight w:val="60"/>
          <w:jc w:val="center"/>
        </w:trPr>
        <w:tc>
          <w:tcPr>
            <w:tcW w:w="10435" w:type="dxa"/>
          </w:tcPr>
          <w:p w:rsidR="004E2AD5" w:rsidRDefault="004E2AD5" w:rsidP="003222B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CASEL</w:t>
            </w:r>
            <w:r w:rsidR="003222B8">
              <w:rPr>
                <w:rFonts w:ascii="Segoe UI" w:hAnsi="Segoe UI" w:cs="Segoe UI"/>
                <w:color w:val="auto"/>
              </w:rPr>
              <w:t xml:space="preserve"> (</w:t>
            </w:r>
            <w:r w:rsidR="003222B8" w:rsidRPr="003222B8">
              <w:rPr>
                <w:rFonts w:ascii="Segoe UI" w:hAnsi="Segoe UI" w:cs="Segoe UI"/>
                <w:color w:val="auto"/>
              </w:rPr>
              <w:t>Collaborative for Academic,</w:t>
            </w:r>
            <w:r w:rsidR="003222B8">
              <w:rPr>
                <w:rFonts w:ascii="Segoe UI" w:hAnsi="Segoe UI" w:cs="Segoe UI"/>
                <w:color w:val="auto"/>
              </w:rPr>
              <w:t xml:space="preserve"> </w:t>
            </w:r>
            <w:r w:rsidR="003222B8" w:rsidRPr="003222B8">
              <w:rPr>
                <w:rFonts w:ascii="Segoe UI" w:hAnsi="Segoe UI" w:cs="Segoe UI"/>
                <w:color w:val="auto"/>
              </w:rPr>
              <w:t>Social, and Emotional Learning</w:t>
            </w:r>
            <w:r w:rsidR="003222B8">
              <w:rPr>
                <w:rFonts w:ascii="Segoe UI" w:hAnsi="Segoe UI" w:cs="Segoe UI"/>
                <w:color w:val="auto"/>
              </w:rPr>
              <w:t>)</w:t>
            </w:r>
          </w:p>
          <w:p w:rsidR="003222B8" w:rsidRDefault="003222B8" w:rsidP="00FA777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hyperlink r:id="rId7" w:history="1">
              <w:r w:rsidRPr="00094A20">
                <w:rPr>
                  <w:rStyle w:val="Hyperlink"/>
                  <w:rFonts w:ascii="Segoe UI" w:hAnsi="Segoe UI" w:cs="Segoe UI"/>
                </w:rPr>
                <w:t>www.casel.org</w:t>
              </w:r>
            </w:hyperlink>
          </w:p>
          <w:p w:rsidR="003222B8" w:rsidRPr="004E2AD5" w:rsidRDefault="003222B8" w:rsidP="003222B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r w:rsidRPr="003222B8">
              <w:rPr>
                <w:rFonts w:ascii="Segoe UI" w:hAnsi="Segoe UI" w:cs="Segoe UI"/>
                <w:color w:val="auto"/>
              </w:rPr>
              <w:t>CASEL’s mission is to help make social and emotional learning (SEL) an integral part of education from preschool through high school.</w:t>
            </w:r>
            <w:r>
              <w:rPr>
                <w:rFonts w:ascii="Segoe UI" w:hAnsi="Segoe UI" w:cs="Segoe UI"/>
                <w:color w:val="auto"/>
              </w:rPr>
              <w:t xml:space="preserve">  CASEL has developed the five competencies of self-awareness, self-management, social awareness, relationship skills, and responsible decision making.</w:t>
            </w:r>
          </w:p>
        </w:tc>
      </w:tr>
      <w:tr w:rsidR="004E2AD5" w:rsidRPr="004E2AD5" w:rsidTr="00FA7778">
        <w:trPr>
          <w:trHeight w:val="60"/>
          <w:jc w:val="center"/>
        </w:trPr>
        <w:tc>
          <w:tcPr>
            <w:tcW w:w="10435" w:type="dxa"/>
          </w:tcPr>
          <w:p w:rsidR="004E2AD5" w:rsidRDefault="004E2AD5" w:rsidP="004E2AD5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r w:rsidRPr="004E2AD5">
              <w:rPr>
                <w:rFonts w:ascii="Segoe UI" w:hAnsi="Segoe UI" w:cs="Segoe UI"/>
                <w:color w:val="auto"/>
              </w:rPr>
              <w:t>Yale Cen</w:t>
            </w:r>
            <w:r>
              <w:rPr>
                <w:rFonts w:ascii="Segoe UI" w:hAnsi="Segoe UI" w:cs="Segoe UI"/>
                <w:color w:val="auto"/>
              </w:rPr>
              <w:t>ter for Emotional Intelligence</w:t>
            </w:r>
          </w:p>
          <w:p w:rsidR="004E2AD5" w:rsidRDefault="004E2AD5" w:rsidP="004E2AD5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hyperlink r:id="rId8" w:history="1">
              <w:r w:rsidRPr="004E2AD5">
                <w:rPr>
                  <w:rStyle w:val="Hyperlink"/>
                  <w:rFonts w:ascii="Segoe UI" w:hAnsi="Segoe UI" w:cs="Segoe UI"/>
                </w:rPr>
                <w:t>http://ei.yale.edu/</w:t>
              </w:r>
            </w:hyperlink>
            <w:r w:rsidRPr="004E2AD5">
              <w:rPr>
                <w:rFonts w:ascii="Segoe UI" w:hAnsi="Segoe UI" w:cs="Segoe UI"/>
                <w:color w:val="auto"/>
              </w:rPr>
              <w:t xml:space="preserve"> </w:t>
            </w:r>
          </w:p>
          <w:p w:rsidR="004E2AD5" w:rsidRPr="004E2AD5" w:rsidRDefault="004E2AD5" w:rsidP="003222B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 xml:space="preserve">RULER Approach to </w:t>
            </w:r>
            <w:r w:rsidRPr="004E2AD5">
              <w:rPr>
                <w:rFonts w:ascii="Segoe UI" w:hAnsi="Segoe UI" w:cs="Segoe UI"/>
                <w:color w:val="auto"/>
              </w:rPr>
              <w:t>Emoti</w:t>
            </w:r>
            <w:r>
              <w:rPr>
                <w:rFonts w:ascii="Segoe UI" w:hAnsi="Segoe UI" w:cs="Segoe UI"/>
                <w:color w:val="auto"/>
              </w:rPr>
              <w:t xml:space="preserve">onal Literacy develops attitudes about, knowledge </w:t>
            </w:r>
            <w:r w:rsidRPr="004E2AD5">
              <w:rPr>
                <w:rFonts w:ascii="Segoe UI" w:hAnsi="Segoe UI" w:cs="Segoe UI"/>
                <w:color w:val="auto"/>
              </w:rPr>
              <w:t>of</w:t>
            </w:r>
            <w:r>
              <w:rPr>
                <w:rFonts w:ascii="Segoe UI" w:hAnsi="Segoe UI" w:cs="Segoe UI"/>
                <w:color w:val="auto"/>
              </w:rPr>
              <w:t>,</w:t>
            </w:r>
            <w:r w:rsidRPr="004E2AD5">
              <w:rPr>
                <w:rFonts w:ascii="Segoe UI" w:hAnsi="Segoe UI" w:cs="Segoe UI"/>
                <w:color w:val="auto"/>
              </w:rPr>
              <w:t xml:space="preserve"> </w:t>
            </w:r>
            <w:r>
              <w:rPr>
                <w:rFonts w:ascii="Segoe UI" w:hAnsi="Segoe UI" w:cs="Segoe UI"/>
                <w:color w:val="auto"/>
              </w:rPr>
              <w:t>and expertise in applying ﬁve key emotion skills:</w:t>
            </w:r>
            <w:r w:rsidR="003222B8">
              <w:rPr>
                <w:rFonts w:ascii="Segoe UI" w:hAnsi="Segoe UI" w:cs="Segoe UI"/>
                <w:color w:val="auto"/>
              </w:rPr>
              <w:t xml:space="preserve"> </w:t>
            </w:r>
            <w:r w:rsidR="003222B8" w:rsidRPr="004E2AD5">
              <w:rPr>
                <w:rFonts w:ascii="Segoe UI" w:hAnsi="Segoe UI" w:cs="Segoe UI"/>
                <w:b/>
                <w:color w:val="auto"/>
                <w:u w:val="single"/>
              </w:rPr>
              <w:t>R</w:t>
            </w:r>
            <w:r w:rsidR="003222B8">
              <w:rPr>
                <w:rFonts w:ascii="Segoe UI" w:hAnsi="Segoe UI" w:cs="Segoe UI"/>
                <w:color w:val="auto"/>
              </w:rPr>
              <w:t xml:space="preserve">ecognizing, </w:t>
            </w:r>
            <w:r w:rsidR="003222B8" w:rsidRPr="004E2AD5">
              <w:rPr>
                <w:rFonts w:ascii="Segoe UI" w:hAnsi="Segoe UI" w:cs="Segoe UI"/>
                <w:b/>
                <w:color w:val="auto"/>
                <w:u w:val="single"/>
              </w:rPr>
              <w:t>U</w:t>
            </w:r>
            <w:r w:rsidR="003222B8">
              <w:rPr>
                <w:rFonts w:ascii="Segoe UI" w:hAnsi="Segoe UI" w:cs="Segoe UI"/>
                <w:color w:val="auto"/>
              </w:rPr>
              <w:t xml:space="preserve">nderstanding, </w:t>
            </w:r>
            <w:r w:rsidR="003222B8" w:rsidRPr="004E2AD5">
              <w:rPr>
                <w:rFonts w:ascii="Segoe UI" w:hAnsi="Segoe UI" w:cs="Segoe UI"/>
                <w:b/>
                <w:color w:val="auto"/>
                <w:u w:val="single"/>
              </w:rPr>
              <w:t>L</w:t>
            </w:r>
            <w:r w:rsidR="003222B8">
              <w:rPr>
                <w:rFonts w:ascii="Segoe UI" w:hAnsi="Segoe UI" w:cs="Segoe UI"/>
                <w:color w:val="auto"/>
              </w:rPr>
              <w:t xml:space="preserve">abeling, </w:t>
            </w:r>
            <w:r w:rsidR="003222B8" w:rsidRPr="004E2AD5">
              <w:rPr>
                <w:rFonts w:ascii="Segoe UI" w:hAnsi="Segoe UI" w:cs="Segoe UI"/>
                <w:b/>
                <w:color w:val="auto"/>
                <w:u w:val="single"/>
              </w:rPr>
              <w:t>E</w:t>
            </w:r>
            <w:r w:rsidR="003222B8">
              <w:rPr>
                <w:rFonts w:ascii="Segoe UI" w:hAnsi="Segoe UI" w:cs="Segoe UI"/>
                <w:color w:val="auto"/>
              </w:rPr>
              <w:t xml:space="preserve">xpressing, </w:t>
            </w:r>
            <w:r w:rsidR="003222B8" w:rsidRPr="004E2AD5">
              <w:rPr>
                <w:rFonts w:ascii="Segoe UI" w:hAnsi="Segoe UI" w:cs="Segoe UI"/>
                <w:b/>
                <w:color w:val="auto"/>
                <w:u w:val="single"/>
              </w:rPr>
              <w:t>R</w:t>
            </w:r>
            <w:r w:rsidR="003222B8">
              <w:rPr>
                <w:rFonts w:ascii="Segoe UI" w:hAnsi="Segoe UI" w:cs="Segoe UI"/>
                <w:color w:val="auto"/>
              </w:rPr>
              <w:t>egulating</w:t>
            </w:r>
          </w:p>
        </w:tc>
      </w:tr>
      <w:tr w:rsidR="004E2AD5" w:rsidRPr="004E2AD5" w:rsidTr="00FA7778">
        <w:trPr>
          <w:trHeight w:val="60"/>
          <w:jc w:val="center"/>
        </w:trPr>
        <w:tc>
          <w:tcPr>
            <w:tcW w:w="10435" w:type="dxa"/>
          </w:tcPr>
          <w:p w:rsidR="003222B8" w:rsidRDefault="004E2AD5" w:rsidP="00FA777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  <w:shd w:val="clear" w:color="auto" w:fill="FFFFFF"/>
              </w:rPr>
            </w:pPr>
            <w:r w:rsidRPr="004E2AD5">
              <w:rPr>
                <w:rFonts w:ascii="Segoe UI" w:hAnsi="Segoe UI" w:cs="Segoe UI"/>
                <w:color w:val="auto"/>
              </w:rPr>
              <w:t xml:space="preserve">The SEL School: Connecting Social and Emotional Learning to Effective Teaching  </w:t>
            </w:r>
            <w:r w:rsidR="003222B8">
              <w:rPr>
                <w:rFonts w:ascii="Segoe UI" w:hAnsi="Segoe UI" w:cs="Segoe UI"/>
                <w:color w:val="auto"/>
                <w:shd w:val="clear" w:color="auto" w:fill="FFFFFF"/>
              </w:rPr>
              <w:t>(T</w:t>
            </w:r>
            <w:r w:rsidR="003222B8" w:rsidRPr="004E2AD5">
              <w:rPr>
                <w:rFonts w:ascii="Segoe UI" w:hAnsi="Segoe UI" w:cs="Segoe UI"/>
                <w:color w:val="auto"/>
                <w:shd w:val="clear" w:color="auto" w:fill="FFFFFF"/>
              </w:rPr>
              <w:t>he Center on Great Teachers and Leaders, based at American Institutes for Research</w:t>
            </w:r>
            <w:r w:rsidR="003222B8">
              <w:rPr>
                <w:rFonts w:ascii="Segoe UI" w:hAnsi="Segoe UI" w:cs="Segoe UI"/>
                <w:color w:val="auto"/>
                <w:shd w:val="clear" w:color="auto" w:fill="FFFFFF"/>
              </w:rPr>
              <w:t>)</w:t>
            </w:r>
          </w:p>
          <w:p w:rsidR="003222B8" w:rsidRDefault="004E2AD5" w:rsidP="00FA777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hyperlink r:id="rId9" w:history="1">
              <w:r w:rsidRPr="004E2AD5">
                <w:rPr>
                  <w:rStyle w:val="Hyperlink"/>
                  <w:rFonts w:ascii="Segoe UI" w:hAnsi="Segoe UI" w:cs="Segoe UI"/>
                </w:rPr>
                <w:t>http://www.gtlcenter.org/sel-school</w:t>
              </w:r>
            </w:hyperlink>
            <w:r w:rsidRPr="004E2AD5">
              <w:rPr>
                <w:rFonts w:ascii="Segoe UI" w:hAnsi="Segoe UI" w:cs="Segoe UI"/>
                <w:color w:val="auto"/>
              </w:rPr>
              <w:t xml:space="preserve">  </w:t>
            </w:r>
          </w:p>
          <w:p w:rsidR="004E2AD5" w:rsidRPr="004E2AD5" w:rsidRDefault="004E2AD5" w:rsidP="00FA777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</w:p>
        </w:tc>
      </w:tr>
      <w:tr w:rsidR="004E2AD5" w:rsidRPr="004E2AD5" w:rsidTr="00FA7778">
        <w:trPr>
          <w:trHeight w:val="60"/>
          <w:jc w:val="center"/>
        </w:trPr>
        <w:tc>
          <w:tcPr>
            <w:tcW w:w="10435" w:type="dxa"/>
          </w:tcPr>
          <w:p w:rsidR="003222B8" w:rsidRDefault="004E2AD5" w:rsidP="00FA777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r w:rsidRPr="004E2AD5">
              <w:rPr>
                <w:rFonts w:ascii="Segoe UI" w:hAnsi="Segoe UI" w:cs="Segoe UI"/>
                <w:color w:val="auto"/>
              </w:rPr>
              <w:t xml:space="preserve">Tribes Learning Community </w:t>
            </w:r>
          </w:p>
          <w:p w:rsidR="003222B8" w:rsidRPr="004E2AD5" w:rsidRDefault="003222B8" w:rsidP="00FA777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hyperlink r:id="rId10" w:history="1">
              <w:r w:rsidRPr="00094A20">
                <w:rPr>
                  <w:rStyle w:val="Hyperlink"/>
                  <w:rFonts w:ascii="Segoe UI" w:hAnsi="Segoe UI" w:cs="Segoe UI"/>
                </w:rPr>
                <w:t>http://tribes.com/</w:t>
              </w:r>
            </w:hyperlink>
            <w:r>
              <w:rPr>
                <w:rFonts w:ascii="Segoe UI" w:hAnsi="Segoe UI" w:cs="Segoe UI"/>
                <w:color w:val="auto"/>
              </w:rPr>
              <w:t xml:space="preserve"> </w:t>
            </w:r>
          </w:p>
        </w:tc>
      </w:tr>
      <w:tr w:rsidR="004E2AD5" w:rsidRPr="004E2AD5" w:rsidTr="00FA7778">
        <w:trPr>
          <w:trHeight w:val="60"/>
          <w:jc w:val="center"/>
        </w:trPr>
        <w:tc>
          <w:tcPr>
            <w:tcW w:w="10435" w:type="dxa"/>
          </w:tcPr>
          <w:p w:rsidR="003222B8" w:rsidRDefault="003222B8" w:rsidP="00FA7778">
            <w:pPr>
              <w:pStyle w:val="Default"/>
              <w:spacing w:line="288" w:lineRule="auto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KidsHealth</w:t>
            </w:r>
          </w:p>
          <w:p w:rsidR="003222B8" w:rsidRPr="003222B8" w:rsidRDefault="003222B8" w:rsidP="00FA7778">
            <w:pPr>
              <w:pStyle w:val="Default"/>
              <w:spacing w:line="288" w:lineRule="auto"/>
              <w:rPr>
                <w:rFonts w:ascii="Segoe UI" w:hAnsi="Segoe UI" w:cs="Segoe UI"/>
                <w:color w:val="0563C1" w:themeColor="hyperlink"/>
                <w:u w:val="single"/>
              </w:rPr>
            </w:pPr>
            <w:hyperlink r:id="rId11" w:history="1">
              <w:r w:rsidRPr="00094A20">
                <w:rPr>
                  <w:rStyle w:val="Hyperlink"/>
                  <w:rFonts w:ascii="Segoe UI" w:hAnsi="Segoe UI" w:cs="Segoe UI"/>
                </w:rPr>
                <w:t>http://kidshealth.org/parent/emotions/index.html</w:t>
              </w:r>
            </w:hyperlink>
            <w:r>
              <w:rPr>
                <w:rFonts w:ascii="Segoe UI" w:hAnsi="Segoe UI" w:cs="Segoe UI"/>
                <w:color w:val="0563C1" w:themeColor="hyperlink"/>
                <w:u w:val="single"/>
              </w:rPr>
              <w:t xml:space="preserve"> </w:t>
            </w:r>
          </w:p>
        </w:tc>
      </w:tr>
      <w:tr w:rsidR="004E2AD5" w:rsidRPr="004E2AD5" w:rsidTr="00FA7778">
        <w:trPr>
          <w:trHeight w:val="60"/>
          <w:jc w:val="center"/>
        </w:trPr>
        <w:tc>
          <w:tcPr>
            <w:tcW w:w="10435" w:type="dxa"/>
          </w:tcPr>
          <w:p w:rsidR="004E2AD5" w:rsidRPr="004E2AD5" w:rsidRDefault="004E2AD5" w:rsidP="003222B8">
            <w:pPr>
              <w:spacing w:after="160" w:line="259" w:lineRule="auto"/>
              <w:rPr>
                <w:rFonts w:ascii="Segoe UI" w:hAnsi="Segoe UI" w:cs="Segoe UI"/>
                <w:sz w:val="24"/>
                <w:szCs w:val="24"/>
              </w:rPr>
            </w:pPr>
            <w:r w:rsidRPr="004E2AD5">
              <w:rPr>
                <w:rFonts w:ascii="Segoe UI" w:hAnsi="Segoe UI" w:cs="Segoe UI"/>
                <w:sz w:val="24"/>
                <w:szCs w:val="24"/>
              </w:rPr>
              <w:t>Center on Great Teachers and Leaders at Am</w:t>
            </w:r>
            <w:r w:rsidRPr="004E2AD5">
              <w:rPr>
                <w:rFonts w:ascii="Segoe UI" w:hAnsi="Segoe UI" w:cs="Segoe UI"/>
                <w:sz w:val="24"/>
                <w:szCs w:val="24"/>
              </w:rPr>
              <w:t>erican Institutes for Research</w:t>
            </w:r>
            <w:r w:rsidR="004B6FC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Pr="004E2AD5"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Teaching the whole child: Instructional practices that support social-emotional learning in three teacher evaluation frameworks </w:t>
            </w:r>
            <w:hyperlink r:id="rId12" w:history="1">
              <w:r w:rsidRPr="004E2AD5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http://www.gtlcenter.org/sites/default/files/TeachingtheWholeChild.pdf</w:t>
              </w:r>
            </w:hyperlink>
            <w:r w:rsidRPr="004E2AD5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</w:p>
        </w:tc>
      </w:tr>
      <w:tr w:rsidR="004E2AD5" w:rsidRPr="004E2AD5" w:rsidTr="00FA7778">
        <w:trPr>
          <w:trHeight w:val="60"/>
          <w:jc w:val="center"/>
        </w:trPr>
        <w:tc>
          <w:tcPr>
            <w:tcW w:w="10435" w:type="dxa"/>
          </w:tcPr>
          <w:p w:rsidR="004E2AD5" w:rsidRPr="004E2AD5" w:rsidRDefault="004E2AD5" w:rsidP="00FA7778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4E2AD5">
              <w:rPr>
                <w:rFonts w:ascii="Segoe UI" w:hAnsi="Segoe UI" w:cs="Segoe UI"/>
                <w:i/>
                <w:sz w:val="24"/>
                <w:szCs w:val="24"/>
              </w:rPr>
              <w:t>Please note these are possible resources and are not explicit recommendations or endorsements.</w:t>
            </w:r>
          </w:p>
        </w:tc>
      </w:tr>
    </w:tbl>
    <w:p w:rsidR="004E2AD5" w:rsidRPr="004E2AD5" w:rsidRDefault="004E2AD5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10440"/>
      </w:tblGrid>
      <w:tr w:rsidR="004E2AD5" w:rsidRPr="004E2AD5" w:rsidTr="00FA7778">
        <w:trPr>
          <w:trHeight w:val="96"/>
          <w:jc w:val="center"/>
        </w:trPr>
        <w:tc>
          <w:tcPr>
            <w:tcW w:w="10440" w:type="dxa"/>
            <w:shd w:val="clear" w:color="auto" w:fill="000000" w:themeFill="text1"/>
          </w:tcPr>
          <w:p w:rsidR="004E2AD5" w:rsidRPr="004E2AD5" w:rsidRDefault="004E2AD5" w:rsidP="00FA7778">
            <w:pPr>
              <w:pStyle w:val="Default"/>
              <w:jc w:val="center"/>
              <w:rPr>
                <w:rFonts w:ascii="Segoe UI" w:hAnsi="Segoe UI" w:cs="Segoe UI"/>
                <w:b/>
                <w:color w:val="auto"/>
              </w:rPr>
            </w:pPr>
            <w:r w:rsidRPr="004E2AD5">
              <w:rPr>
                <w:rFonts w:ascii="Segoe UI" w:hAnsi="Segoe UI" w:cs="Segoe UI"/>
                <w:b/>
                <w:color w:val="auto"/>
              </w:rPr>
              <w:t>Ideas or Practices</w:t>
            </w:r>
          </w:p>
        </w:tc>
      </w:tr>
      <w:tr w:rsidR="004E2AD5" w:rsidRPr="004E2AD5" w:rsidTr="00FA7778">
        <w:trPr>
          <w:trHeight w:val="85"/>
          <w:jc w:val="center"/>
        </w:trPr>
        <w:tc>
          <w:tcPr>
            <w:tcW w:w="10440" w:type="dxa"/>
          </w:tcPr>
          <w:p w:rsidR="003222B8" w:rsidRDefault="003222B8" w:rsidP="00FA777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Dialogue Journals</w:t>
            </w:r>
          </w:p>
          <w:p w:rsidR="004E2AD5" w:rsidRPr="004E2AD5" w:rsidRDefault="003222B8" w:rsidP="003222B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Students keep a journal about what they are thinking, feeling, and needing before, during, and after the lesson.  If possible, teachers or other staff then respond to their entries in writing and start a type of dialogue in writing.</w:t>
            </w:r>
          </w:p>
        </w:tc>
      </w:tr>
      <w:tr w:rsidR="004E2AD5" w:rsidRPr="004E2AD5" w:rsidTr="00FA7778">
        <w:trPr>
          <w:trHeight w:val="85"/>
          <w:jc w:val="center"/>
        </w:trPr>
        <w:tc>
          <w:tcPr>
            <w:tcW w:w="10440" w:type="dxa"/>
          </w:tcPr>
          <w:p w:rsidR="004E2AD5" w:rsidRDefault="004E2AD5" w:rsidP="00FA777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4E2AD5">
              <w:rPr>
                <w:rFonts w:ascii="Segoe UI" w:hAnsi="Segoe UI" w:cs="Segoe UI"/>
                <w:b/>
                <w:bCs/>
                <w:sz w:val="24"/>
                <w:szCs w:val="24"/>
              </w:rPr>
              <w:t>Check-in/check-out emotions each class</w:t>
            </w:r>
          </w:p>
          <w:p w:rsidR="003222B8" w:rsidRPr="003222B8" w:rsidRDefault="003222B8" w:rsidP="00FA7778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 xml:space="preserve">Students check in before a lesson about their emotions and readiness for the lesson or activity.  They check out at the </w:t>
            </w:r>
            <w:r w:rsidR="004B6FC1">
              <w:rPr>
                <w:rFonts w:ascii="Segoe UI" w:hAnsi="Segoe UI" w:cs="Segoe UI"/>
                <w:bCs/>
                <w:sz w:val="24"/>
                <w:szCs w:val="24"/>
              </w:rPr>
              <w:t>end of the lesson to reflect on what they learned and how they feel about it now.</w:t>
            </w:r>
          </w:p>
        </w:tc>
      </w:tr>
      <w:tr w:rsidR="004E2AD5" w:rsidRPr="004E2AD5" w:rsidTr="00FA7778">
        <w:trPr>
          <w:trHeight w:val="85"/>
          <w:jc w:val="center"/>
        </w:trPr>
        <w:tc>
          <w:tcPr>
            <w:tcW w:w="10440" w:type="dxa"/>
          </w:tcPr>
          <w:p w:rsidR="004E2AD5" w:rsidRDefault="004E2AD5" w:rsidP="00FA777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4E2AD5">
              <w:rPr>
                <w:rFonts w:ascii="Segoe UI" w:hAnsi="Segoe UI" w:cs="Segoe UI"/>
                <w:b/>
                <w:bCs/>
                <w:sz w:val="24"/>
                <w:szCs w:val="24"/>
              </w:rPr>
              <w:t>Agree/Disagree/Ask tents for discussion</w:t>
            </w:r>
          </w:p>
          <w:p w:rsidR="003222B8" w:rsidRPr="003222B8" w:rsidRDefault="003222B8" w:rsidP="00FA7778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3222B8">
              <w:rPr>
                <w:rFonts w:ascii="Segoe UI" w:hAnsi="Segoe UI" w:cs="Segoe UI"/>
                <w:bCs/>
                <w:sz w:val="24"/>
                <w:szCs w:val="24"/>
              </w:rPr>
              <w:t>Students are provided structured sentence stems to facilitate productive and respectful group discussions.</w:t>
            </w:r>
          </w:p>
        </w:tc>
      </w:tr>
    </w:tbl>
    <w:p w:rsidR="004E2AD5" w:rsidRDefault="004E2AD5"/>
    <w:p w:rsidR="004E2AD5" w:rsidRDefault="004E2AD5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0435"/>
      </w:tblGrid>
      <w:tr w:rsidR="005A2C4C" w:rsidRPr="00AD159D" w:rsidTr="00A17E40">
        <w:trPr>
          <w:trHeight w:val="96"/>
          <w:jc w:val="center"/>
        </w:trPr>
        <w:tc>
          <w:tcPr>
            <w:tcW w:w="10435" w:type="dxa"/>
            <w:shd w:val="clear" w:color="auto" w:fill="000000" w:themeFill="text1"/>
          </w:tcPr>
          <w:p w:rsidR="005A2C4C" w:rsidRPr="00AD159D" w:rsidRDefault="00637B52" w:rsidP="00637B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Researched </w:t>
            </w:r>
            <w:r w:rsidR="005A2C4C" w:rsidRPr="00AD159D">
              <w:rPr>
                <w:rFonts w:ascii="Arial" w:hAnsi="Arial" w:cs="Arial"/>
                <w:b/>
                <w:color w:val="auto"/>
                <w:sz w:val="20"/>
                <w:szCs w:val="20"/>
              </w:rPr>
              <w:t>Instructional Practices That Support Development of Social &amp; Emotional Learning Skills</w:t>
            </w:r>
          </w:p>
        </w:tc>
      </w:tr>
      <w:tr w:rsidR="005A2C4C" w:rsidRPr="00AD159D" w:rsidTr="005A2C4C">
        <w:trPr>
          <w:trHeight w:val="60"/>
          <w:jc w:val="center"/>
        </w:trPr>
        <w:tc>
          <w:tcPr>
            <w:tcW w:w="10435" w:type="dxa"/>
          </w:tcPr>
          <w:p w:rsidR="00637B52" w:rsidRPr="00637B52" w:rsidRDefault="00637B52" w:rsidP="00637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>Implement project-based learning.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>Coordinate cognitive and affective behavior.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goal-directed actions, with student planning and monitoring. 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Include development of teamwork skills. </w:t>
            </w:r>
          </w:p>
          <w:p w:rsidR="00637B52" w:rsidRPr="00637B52" w:rsidRDefault="00637B52" w:rsidP="00637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>Implement formal/structured lessons.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>Develop goals with students that are relevant to each student’s life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 xml:space="preserve">Model and teach subcomponents of skills, and integrate them. 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 xml:space="preserve">Use developmentally appropriate activities with feedback. 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established prompts and cues. </w:t>
            </w:r>
          </w:p>
          <w:p w:rsidR="00637B52" w:rsidRPr="00637B52" w:rsidRDefault="00637B52" w:rsidP="00637B5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B52">
              <w:rPr>
                <w:rFonts w:ascii="Arial" w:hAnsi="Arial" w:cs="Arial"/>
                <w:color w:val="000000"/>
                <w:sz w:val="20"/>
                <w:szCs w:val="20"/>
              </w:rPr>
              <w:t>Recognize and reinforce real-world applications.</w:t>
            </w:r>
          </w:p>
          <w:p w:rsidR="0079634B" w:rsidRDefault="0079634B" w:rsidP="0079634B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2C4C" w:rsidRPr="0079634B" w:rsidRDefault="0079634B" w:rsidP="007963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4B">
              <w:rPr>
                <w:rFonts w:ascii="Arial" w:hAnsi="Arial" w:cs="Arial"/>
                <w:sz w:val="20"/>
                <w:szCs w:val="16"/>
              </w:rPr>
              <w:t xml:space="preserve">Elias, M. J. (2004). Strategies to infuse social and emotional learning into academics. In J. E.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Zins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R. W.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Weissberg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M. C. Wang, &amp; H. J. Walberg (Eds.), </w:t>
            </w:r>
            <w:r w:rsidRPr="0079634B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Building academic success on social and emotional learning: What does the research say? </w:t>
            </w:r>
            <w:r w:rsidRPr="0079634B">
              <w:rPr>
                <w:rFonts w:ascii="Arial" w:hAnsi="Arial" w:cs="Arial"/>
                <w:sz w:val="20"/>
                <w:szCs w:val="16"/>
              </w:rPr>
              <w:t xml:space="preserve">(pp. 113–134). New York: Teachers College Press. </w:t>
            </w:r>
          </w:p>
        </w:tc>
      </w:tr>
      <w:tr w:rsidR="005A2C4C" w:rsidRPr="00AD159D" w:rsidTr="005A2C4C">
        <w:trPr>
          <w:trHeight w:val="60"/>
          <w:jc w:val="center"/>
        </w:trPr>
        <w:tc>
          <w:tcPr>
            <w:tcW w:w="10435" w:type="dxa"/>
          </w:tcPr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Use storytelling and biography as a way to introd</w:t>
            </w:r>
            <w:r w:rsidR="00637B52">
              <w:rPr>
                <w:rFonts w:ascii="Arial" w:hAnsi="Arial" w:cs="Arial"/>
                <w:sz w:val="20"/>
                <w:szCs w:val="20"/>
              </w:rPr>
              <w:t>uce social-emotional learning.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Implement group discussions that are content </w:t>
            </w:r>
            <w:r w:rsidR="00637B52">
              <w:rPr>
                <w:rFonts w:ascii="Arial" w:hAnsi="Arial" w:cs="Arial"/>
                <w:sz w:val="20"/>
                <w:szCs w:val="20"/>
              </w:rPr>
              <w:t>driven and/or socially driven.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Provide rehearsal and c</w:t>
            </w:r>
            <w:r w:rsidR="00637B52">
              <w:rPr>
                <w:rFonts w:ascii="Arial" w:hAnsi="Arial" w:cs="Arial"/>
                <w:sz w:val="20"/>
                <w:szCs w:val="20"/>
              </w:rPr>
              <w:t>hances to practice new skills.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Develop self-awareness and self-regulation skills through student reflectio</w:t>
            </w:r>
            <w:r w:rsidR="00637B52">
              <w:rPr>
                <w:rFonts w:ascii="Arial" w:hAnsi="Arial" w:cs="Arial"/>
                <w:sz w:val="20"/>
                <w:szCs w:val="20"/>
              </w:rPr>
              <w:t>n and monitoring own behavior.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Allow students to self-reflect and goal-set by allowing students to help with planning, setting priorities, and knowing </w:t>
            </w:r>
            <w:r w:rsidR="00637B52">
              <w:rPr>
                <w:rFonts w:ascii="Arial" w:hAnsi="Arial" w:cs="Arial"/>
                <w:sz w:val="20"/>
                <w:szCs w:val="20"/>
              </w:rPr>
              <w:t>progress to reach their goals.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Provide opportun</w:t>
            </w:r>
            <w:r w:rsidR="00637B52">
              <w:rPr>
                <w:rFonts w:ascii="Arial" w:hAnsi="Arial" w:cs="Arial"/>
                <w:sz w:val="20"/>
                <w:szCs w:val="20"/>
              </w:rPr>
              <w:t>ities for artistic expression.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Provide opportunities for students to play, including games around academic content. These games should be a useful way to learn content, not implemen</w:t>
            </w:r>
            <w:r w:rsidR="00637B52">
              <w:rPr>
                <w:rFonts w:ascii="Arial" w:hAnsi="Arial" w:cs="Arial"/>
                <w:sz w:val="20"/>
                <w:szCs w:val="20"/>
              </w:rPr>
              <w:t>ted because they are just fun.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Implement cooperative and small-group learning, in which students practice listening to other points of view, being sensitive to others’ needs, negotiating, pe</w:t>
            </w:r>
            <w:r w:rsidR="00637B52">
              <w:rPr>
                <w:rFonts w:ascii="Arial" w:hAnsi="Arial" w:cs="Arial"/>
                <w:sz w:val="20"/>
                <w:szCs w:val="20"/>
              </w:rPr>
              <w:t>rsuading, and problem-solving.</w:t>
            </w:r>
          </w:p>
          <w:p w:rsidR="00637B52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Model own </w:t>
            </w:r>
            <w:r w:rsidR="00637B52">
              <w:rPr>
                <w:rFonts w:ascii="Arial" w:hAnsi="Arial" w:cs="Arial"/>
                <w:sz w:val="20"/>
                <w:szCs w:val="20"/>
              </w:rPr>
              <w:t>social-emotional competencies.</w:t>
            </w:r>
          </w:p>
          <w:p w:rsidR="005A2C4C" w:rsidRPr="00AD159D" w:rsidRDefault="005A2C4C" w:rsidP="00637B52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Coach and give cues about student behavior. </w:t>
            </w:r>
          </w:p>
          <w:p w:rsidR="0079634B" w:rsidRDefault="0079634B" w:rsidP="0079634B">
            <w:pPr>
              <w:pStyle w:val="Default"/>
            </w:pPr>
          </w:p>
          <w:p w:rsidR="005A2C4C" w:rsidRPr="0079634B" w:rsidRDefault="0079634B" w:rsidP="007963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4B">
              <w:rPr>
                <w:rFonts w:ascii="Arial" w:hAnsi="Arial" w:cs="Arial"/>
                <w:sz w:val="20"/>
                <w:szCs w:val="16"/>
              </w:rPr>
              <w:t xml:space="preserve">Elias, M. J.,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Zins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J. E.,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Weissberg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R. P., Frey, K. S., Greenberg, M. T., Haynes, N. M., et al. (1997). </w:t>
            </w:r>
            <w:r w:rsidRPr="0079634B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Promoting social and emotional learning: Guidelines for educators. </w:t>
            </w:r>
            <w:r w:rsidRPr="0079634B">
              <w:rPr>
                <w:rFonts w:ascii="Arial" w:hAnsi="Arial" w:cs="Arial"/>
                <w:sz w:val="20"/>
                <w:szCs w:val="16"/>
              </w:rPr>
              <w:t xml:space="preserve">Alexandria, VA: Association for Supervision and Curriculum Development. </w:t>
            </w:r>
          </w:p>
        </w:tc>
      </w:tr>
      <w:tr w:rsidR="005A2C4C" w:rsidRPr="00AD159D" w:rsidTr="005A2C4C">
        <w:trPr>
          <w:trHeight w:val="60"/>
          <w:jc w:val="center"/>
        </w:trPr>
        <w:tc>
          <w:tcPr>
            <w:tcW w:w="10435" w:type="dxa"/>
          </w:tcPr>
          <w:p w:rsidR="00637B52" w:rsidRDefault="005A2C4C" w:rsidP="00637B52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Create a cooperative community in which the teacher has to negotiate between interdependence </w:t>
            </w:r>
            <w:r w:rsidR="00637B52">
              <w:rPr>
                <w:rFonts w:ascii="Arial" w:hAnsi="Arial" w:cs="Arial"/>
                <w:sz w:val="20"/>
                <w:szCs w:val="20"/>
              </w:rPr>
              <w:t>and individual accountability.</w:t>
            </w:r>
          </w:p>
          <w:p w:rsidR="00637B52" w:rsidRDefault="005A2C4C" w:rsidP="00637B52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Teach students constructive conflict resolution by providing common norm</w:t>
            </w:r>
            <w:r w:rsidR="00637B52">
              <w:rPr>
                <w:rFonts w:ascii="Arial" w:hAnsi="Arial" w:cs="Arial"/>
                <w:sz w:val="20"/>
                <w:szCs w:val="20"/>
              </w:rPr>
              <w:t>s on how to resolve conflicts.</w:t>
            </w:r>
          </w:p>
          <w:p w:rsidR="005A2C4C" w:rsidRPr="00AD159D" w:rsidRDefault="005A2C4C" w:rsidP="00637B52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Teach students civic values through common goals and values around behavior. </w:t>
            </w:r>
          </w:p>
          <w:p w:rsidR="0079634B" w:rsidRDefault="0079634B" w:rsidP="007963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16"/>
              </w:rPr>
            </w:pPr>
          </w:p>
          <w:p w:rsidR="005A2C4C" w:rsidRPr="0079634B" w:rsidRDefault="0079634B" w:rsidP="007963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4B">
              <w:rPr>
                <w:rFonts w:ascii="Arial" w:hAnsi="Arial" w:cs="Arial"/>
                <w:sz w:val="20"/>
                <w:szCs w:val="16"/>
              </w:rPr>
              <w:t xml:space="preserve">Johnson, D. W., &amp; Johnson, R. T. (2004). The three C’s of promoting social and emotional learning. In J. E.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Zins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R. W.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Weissberg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M. C. Wang, &amp; H. J. Walberg (Eds.), </w:t>
            </w:r>
            <w:r w:rsidRPr="0079634B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Building academic success on social and emotional learning: What does the research say? </w:t>
            </w:r>
            <w:r w:rsidRPr="0079634B">
              <w:rPr>
                <w:rFonts w:ascii="Arial" w:hAnsi="Arial" w:cs="Arial"/>
                <w:sz w:val="20"/>
                <w:szCs w:val="16"/>
              </w:rPr>
              <w:t xml:space="preserve">(pp. 40–58). New York: Teachers College Press. </w:t>
            </w:r>
          </w:p>
        </w:tc>
      </w:tr>
      <w:tr w:rsidR="005A2C4C" w:rsidRPr="00AD159D" w:rsidTr="005A2C4C">
        <w:trPr>
          <w:trHeight w:val="60"/>
          <w:jc w:val="center"/>
        </w:trPr>
        <w:tc>
          <w:tcPr>
            <w:tcW w:w="10435" w:type="dxa"/>
          </w:tcPr>
          <w:p w:rsidR="00637B52" w:rsidRDefault="005A2C4C" w:rsidP="00637B52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Create positive interp</w:t>
            </w:r>
            <w:r w:rsidR="00637B52">
              <w:rPr>
                <w:rFonts w:ascii="Arial" w:hAnsi="Arial" w:cs="Arial"/>
                <w:sz w:val="20"/>
                <w:szCs w:val="20"/>
              </w:rPr>
              <w:t xml:space="preserve">ersonal relationships/climate. </w:t>
            </w:r>
          </w:p>
          <w:p w:rsidR="00637B52" w:rsidRDefault="005A2C4C" w:rsidP="00637B52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Honor student voice, provide challenge, and encourage stu</w:t>
            </w:r>
            <w:r w:rsidR="00637B52">
              <w:rPr>
                <w:rFonts w:ascii="Arial" w:hAnsi="Arial" w:cs="Arial"/>
                <w:sz w:val="20"/>
                <w:szCs w:val="20"/>
              </w:rPr>
              <w:t>dents to develop perspectives.</w:t>
            </w:r>
          </w:p>
          <w:p w:rsidR="00637B52" w:rsidRDefault="005A2C4C" w:rsidP="00637B52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>Encourage higher-order thinki</w:t>
            </w:r>
            <w:r w:rsidR="00637B52">
              <w:rPr>
                <w:rFonts w:ascii="Arial" w:hAnsi="Arial" w:cs="Arial"/>
                <w:sz w:val="20"/>
                <w:szCs w:val="20"/>
              </w:rPr>
              <w:t xml:space="preserve">ng skills and self-regulation. </w:t>
            </w:r>
          </w:p>
          <w:p w:rsidR="005A2C4C" w:rsidRPr="00AD159D" w:rsidRDefault="005A2C4C" w:rsidP="00637B52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Adapt to individual developmental differences. </w:t>
            </w:r>
          </w:p>
          <w:p w:rsidR="0079634B" w:rsidRDefault="0079634B" w:rsidP="007963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16"/>
              </w:rPr>
            </w:pPr>
          </w:p>
          <w:p w:rsidR="005A2C4C" w:rsidRPr="0079634B" w:rsidRDefault="0079634B" w:rsidP="0079634B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4B">
              <w:rPr>
                <w:rFonts w:ascii="Arial" w:hAnsi="Arial" w:cs="Arial"/>
                <w:sz w:val="20"/>
                <w:szCs w:val="16"/>
              </w:rPr>
              <w:t xml:space="preserve">McCombs, B. (2004). The learner-centered psychological principles: A framework for balancing academic achievement and social-emotional learning outcomes. In J. E.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Zins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R. W. </w:t>
            </w:r>
            <w:proofErr w:type="spellStart"/>
            <w:r w:rsidRPr="0079634B">
              <w:rPr>
                <w:rFonts w:ascii="Arial" w:hAnsi="Arial" w:cs="Arial"/>
                <w:sz w:val="20"/>
                <w:szCs w:val="16"/>
              </w:rPr>
              <w:t>Weissberg</w:t>
            </w:r>
            <w:proofErr w:type="spellEnd"/>
            <w:r w:rsidRPr="0079634B">
              <w:rPr>
                <w:rFonts w:ascii="Arial" w:hAnsi="Arial" w:cs="Arial"/>
                <w:sz w:val="20"/>
                <w:szCs w:val="16"/>
              </w:rPr>
              <w:t xml:space="preserve">, M. C. Wang, &amp; H. J. Walberg (Eds.), </w:t>
            </w:r>
            <w:r w:rsidRPr="0079634B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Building academic success on social and emotional learning: What does the research say? </w:t>
            </w:r>
            <w:r w:rsidRPr="0079634B">
              <w:rPr>
                <w:rFonts w:ascii="Arial" w:hAnsi="Arial" w:cs="Arial"/>
                <w:sz w:val="20"/>
                <w:szCs w:val="16"/>
              </w:rPr>
              <w:t xml:space="preserve">(pp. 23–39). New York: Teachers College Press. </w:t>
            </w:r>
          </w:p>
        </w:tc>
      </w:tr>
      <w:tr w:rsidR="003E72F2" w:rsidRPr="00AD159D" w:rsidTr="005A2C4C">
        <w:trPr>
          <w:trHeight w:val="60"/>
          <w:jc w:val="center"/>
        </w:trPr>
        <w:tc>
          <w:tcPr>
            <w:tcW w:w="10435" w:type="dxa"/>
          </w:tcPr>
          <w:p w:rsidR="0079634B" w:rsidRDefault="0079634B" w:rsidP="0079634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Compiled from</w:t>
            </w:r>
            <w:r w:rsidR="003E72F2" w:rsidRPr="00AD159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634B" w:rsidRDefault="0079634B" w:rsidP="0079634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:rsidR="003E72F2" w:rsidRDefault="003E72F2" w:rsidP="0079634B">
            <w:pPr>
              <w:pStyle w:val="Footer"/>
              <w:tabs>
                <w:tab w:val="clear" w:pos="4680"/>
                <w:tab w:val="center" w:pos="697"/>
              </w:tabs>
              <w:ind w:left="720" w:hanging="7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D159D">
              <w:rPr>
                <w:rFonts w:ascii="Arial" w:hAnsi="Arial" w:cs="Arial"/>
                <w:sz w:val="20"/>
                <w:szCs w:val="20"/>
              </w:rPr>
              <w:t xml:space="preserve">Center on Great Teachers and Leaders at American Institutes for Research. (2014). </w:t>
            </w:r>
            <w:r w:rsidRPr="00AD159D">
              <w:rPr>
                <w:rFonts w:ascii="Arial" w:hAnsi="Arial" w:cs="Arial"/>
                <w:i/>
                <w:sz w:val="20"/>
                <w:szCs w:val="20"/>
              </w:rPr>
              <w:t xml:space="preserve">Teaching the whole child: Instructional practices that support social-emotional learning in three teacher evaluation frameworks (Revised ed.). </w:t>
            </w:r>
            <w:r w:rsidRPr="00AD159D">
              <w:rPr>
                <w:rFonts w:ascii="Arial" w:hAnsi="Arial" w:cs="Arial"/>
                <w:sz w:val="20"/>
                <w:szCs w:val="20"/>
              </w:rPr>
              <w:t xml:space="preserve">Washington, DC: Nicholas Yoder.  Retrieved from: </w:t>
            </w:r>
            <w:hyperlink r:id="rId13" w:history="1">
              <w:r w:rsidR="004B6FC1" w:rsidRPr="00094A2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http://www.gtlcenter.org/sites/default/files/TeachingtheWholeChild.pdf</w:t>
              </w:r>
            </w:hyperlink>
          </w:p>
          <w:p w:rsidR="004B6FC1" w:rsidRPr="00AD159D" w:rsidRDefault="004B6FC1" w:rsidP="0079634B">
            <w:pPr>
              <w:pStyle w:val="Footer"/>
              <w:tabs>
                <w:tab w:val="clear" w:pos="4680"/>
                <w:tab w:val="center" w:pos="697"/>
              </w:tabs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C48" w:rsidRPr="00AD159D" w:rsidRDefault="00D72C48" w:rsidP="00637B5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D159D">
        <w:rPr>
          <w:rFonts w:ascii="Arial" w:hAnsi="Arial" w:cs="Arial"/>
          <w:color w:val="auto"/>
          <w:sz w:val="20"/>
          <w:szCs w:val="20"/>
        </w:rPr>
        <w:lastRenderedPageBreak/>
        <w:t xml:space="preserve">. </w:t>
      </w:r>
    </w:p>
    <w:sectPr w:rsidR="00D72C48" w:rsidRPr="00AD159D" w:rsidSect="00C63FF0">
      <w:head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AD" w:rsidRDefault="009558AD" w:rsidP="006D36DF">
      <w:pPr>
        <w:spacing w:after="0" w:line="240" w:lineRule="auto"/>
      </w:pPr>
      <w:r>
        <w:separator/>
      </w:r>
    </w:p>
  </w:endnote>
  <w:endnote w:type="continuationSeparator" w:id="0">
    <w:p w:rsidR="009558AD" w:rsidRDefault="009558AD" w:rsidP="006D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Franklin Gothic Std Bk Cd">
    <w:altName w:val="ITC Franklin Gothic Std Bk C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AD" w:rsidRDefault="009558AD" w:rsidP="006D36DF">
      <w:pPr>
        <w:spacing w:after="0" w:line="240" w:lineRule="auto"/>
      </w:pPr>
      <w:r>
        <w:separator/>
      </w:r>
    </w:p>
  </w:footnote>
  <w:footnote w:type="continuationSeparator" w:id="0">
    <w:p w:rsidR="009558AD" w:rsidRDefault="009558AD" w:rsidP="006D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DF" w:rsidRPr="005A2C4C" w:rsidRDefault="005A2C4C" w:rsidP="006D36DF">
    <w:pPr>
      <w:pStyle w:val="Header"/>
      <w:jc w:val="center"/>
      <w:rPr>
        <w:rFonts w:ascii="Segoe UI Semibold" w:hAnsi="Segoe UI Semibold" w:cs="Segoe UI Semibold"/>
        <w:b/>
        <w:sz w:val="24"/>
        <w:u w:val="single"/>
      </w:rPr>
    </w:pPr>
    <w:r>
      <w:rPr>
        <w:rFonts w:ascii="Segoe UI Semibold" w:hAnsi="Segoe UI Semibold" w:cs="Segoe UI Semibold"/>
        <w:b/>
        <w:sz w:val="24"/>
        <w:u w:val="single"/>
      </w:rPr>
      <w:t xml:space="preserve">SOCIAL &amp; </w:t>
    </w:r>
    <w:r w:rsidR="006D36DF" w:rsidRPr="005A2C4C">
      <w:rPr>
        <w:rFonts w:ascii="Segoe UI Semibold" w:hAnsi="Segoe UI Semibold" w:cs="Segoe UI Semibold"/>
        <w:b/>
        <w:sz w:val="24"/>
        <w:u w:val="single"/>
      </w:rPr>
      <w:t>EMOTIONAL LEARNING</w:t>
    </w:r>
    <w:r w:rsidR="006E7670">
      <w:rPr>
        <w:rFonts w:ascii="Segoe UI Semibold" w:hAnsi="Segoe UI Semibold" w:cs="Segoe UI Semibold"/>
        <w:b/>
        <w:sz w:val="24"/>
        <w:u w:val="single"/>
      </w:rPr>
      <w:t>: Resources and Ideas</w:t>
    </w:r>
  </w:p>
  <w:p w:rsidR="006D36DF" w:rsidRPr="006D4898" w:rsidRDefault="006D36DF" w:rsidP="006D36DF">
    <w:pPr>
      <w:pStyle w:val="Header"/>
      <w:jc w:val="center"/>
      <w:rPr>
        <w:rFonts w:ascii="Arial" w:hAnsi="Arial" w:cs="Arial"/>
        <w:b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4397F5"/>
    <w:multiLevelType w:val="hybridMultilevel"/>
    <w:tmpl w:val="87CA69B3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AA5DEC"/>
    <w:multiLevelType w:val="hybridMultilevel"/>
    <w:tmpl w:val="D5DF89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6E7EC4"/>
    <w:multiLevelType w:val="hybridMultilevel"/>
    <w:tmpl w:val="4A1F5A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9EB5D3"/>
    <w:multiLevelType w:val="hybridMultilevel"/>
    <w:tmpl w:val="D304D5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9783E0"/>
    <w:multiLevelType w:val="hybridMultilevel"/>
    <w:tmpl w:val="F7E5AC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558668D"/>
    <w:multiLevelType w:val="hybridMultilevel"/>
    <w:tmpl w:val="65C1DE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D1AFC0"/>
    <w:multiLevelType w:val="hybridMultilevel"/>
    <w:tmpl w:val="E76524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064205"/>
    <w:multiLevelType w:val="hybridMultilevel"/>
    <w:tmpl w:val="E9C6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3C400F"/>
    <w:multiLevelType w:val="hybridMultilevel"/>
    <w:tmpl w:val="804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DC2FCF"/>
    <w:multiLevelType w:val="hybridMultilevel"/>
    <w:tmpl w:val="B17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01361"/>
    <w:multiLevelType w:val="hybridMultilevel"/>
    <w:tmpl w:val="2F30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52398"/>
    <w:multiLevelType w:val="hybridMultilevel"/>
    <w:tmpl w:val="5ACEE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50FED"/>
    <w:multiLevelType w:val="hybridMultilevel"/>
    <w:tmpl w:val="5E0A0AD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8199AF5"/>
    <w:multiLevelType w:val="hybridMultilevel"/>
    <w:tmpl w:val="B29B5A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5154C81"/>
    <w:multiLevelType w:val="hybridMultilevel"/>
    <w:tmpl w:val="54A8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615A3"/>
    <w:multiLevelType w:val="hybridMultilevel"/>
    <w:tmpl w:val="60F0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B68FD"/>
    <w:multiLevelType w:val="hybridMultilevel"/>
    <w:tmpl w:val="F69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D16D0"/>
    <w:multiLevelType w:val="hybridMultilevel"/>
    <w:tmpl w:val="A7D8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8375F"/>
    <w:multiLevelType w:val="hybridMultilevel"/>
    <w:tmpl w:val="DA1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A3EA4"/>
    <w:multiLevelType w:val="hybridMultilevel"/>
    <w:tmpl w:val="922DEC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B4D49FC"/>
    <w:multiLevelType w:val="hybridMultilevel"/>
    <w:tmpl w:val="2CAA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A82E"/>
    <w:multiLevelType w:val="hybridMultilevel"/>
    <w:tmpl w:val="F414B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7890E81"/>
    <w:multiLevelType w:val="hybridMultilevel"/>
    <w:tmpl w:val="29C6DCFE"/>
    <w:lvl w:ilvl="0" w:tplc="B8E83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8AFE6">
      <w:start w:val="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2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4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A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47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A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8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25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AF7AD8"/>
    <w:multiLevelType w:val="hybridMultilevel"/>
    <w:tmpl w:val="ED62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32572"/>
    <w:multiLevelType w:val="hybridMultilevel"/>
    <w:tmpl w:val="9154EF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1F44268"/>
    <w:multiLevelType w:val="hybridMultilevel"/>
    <w:tmpl w:val="ACB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A4E23"/>
    <w:multiLevelType w:val="hybridMultilevel"/>
    <w:tmpl w:val="AF4A5B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59359C2"/>
    <w:multiLevelType w:val="hybridMultilevel"/>
    <w:tmpl w:val="44D8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26"/>
  </w:num>
  <w:num w:numId="5">
    <w:abstractNumId w:val="11"/>
  </w:num>
  <w:num w:numId="6">
    <w:abstractNumId w:val="2"/>
  </w:num>
  <w:num w:numId="7">
    <w:abstractNumId w:val="18"/>
  </w:num>
  <w:num w:numId="8">
    <w:abstractNumId w:val="25"/>
  </w:num>
  <w:num w:numId="9">
    <w:abstractNumId w:val="3"/>
  </w:num>
  <w:num w:numId="10">
    <w:abstractNumId w:val="23"/>
  </w:num>
  <w:num w:numId="11">
    <w:abstractNumId w:val="1"/>
  </w:num>
  <w:num w:numId="12">
    <w:abstractNumId w:val="20"/>
  </w:num>
  <w:num w:numId="13">
    <w:abstractNumId w:val="13"/>
  </w:num>
  <w:num w:numId="14">
    <w:abstractNumId w:val="17"/>
  </w:num>
  <w:num w:numId="15">
    <w:abstractNumId w:val="6"/>
  </w:num>
  <w:num w:numId="16">
    <w:abstractNumId w:val="0"/>
  </w:num>
  <w:num w:numId="17">
    <w:abstractNumId w:val="4"/>
  </w:num>
  <w:num w:numId="18">
    <w:abstractNumId w:val="22"/>
  </w:num>
  <w:num w:numId="19">
    <w:abstractNumId w:val="24"/>
  </w:num>
  <w:num w:numId="20">
    <w:abstractNumId w:val="27"/>
  </w:num>
  <w:num w:numId="21">
    <w:abstractNumId w:val="12"/>
  </w:num>
  <w:num w:numId="22">
    <w:abstractNumId w:val="14"/>
  </w:num>
  <w:num w:numId="23">
    <w:abstractNumId w:val="16"/>
  </w:num>
  <w:num w:numId="24">
    <w:abstractNumId w:val="10"/>
  </w:num>
  <w:num w:numId="25">
    <w:abstractNumId w:val="7"/>
  </w:num>
  <w:num w:numId="26">
    <w:abstractNumId w:val="8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48"/>
    <w:rsid w:val="000F1BCF"/>
    <w:rsid w:val="001A4517"/>
    <w:rsid w:val="00284D33"/>
    <w:rsid w:val="003222B8"/>
    <w:rsid w:val="003E72F2"/>
    <w:rsid w:val="004B6FC1"/>
    <w:rsid w:val="004C27C6"/>
    <w:rsid w:val="004E2AD5"/>
    <w:rsid w:val="00571158"/>
    <w:rsid w:val="005A2C4C"/>
    <w:rsid w:val="006077F6"/>
    <w:rsid w:val="00637B52"/>
    <w:rsid w:val="00685050"/>
    <w:rsid w:val="006D36DF"/>
    <w:rsid w:val="006D4898"/>
    <w:rsid w:val="006E7670"/>
    <w:rsid w:val="0079634B"/>
    <w:rsid w:val="008E0120"/>
    <w:rsid w:val="009558AD"/>
    <w:rsid w:val="00A01830"/>
    <w:rsid w:val="00A80E4B"/>
    <w:rsid w:val="00AD159D"/>
    <w:rsid w:val="00B14146"/>
    <w:rsid w:val="00BA094D"/>
    <w:rsid w:val="00BA5393"/>
    <w:rsid w:val="00C63FF0"/>
    <w:rsid w:val="00D72C48"/>
    <w:rsid w:val="00DF7D50"/>
    <w:rsid w:val="00E855BC"/>
    <w:rsid w:val="00EC12D8"/>
    <w:rsid w:val="00F33902"/>
    <w:rsid w:val="00FA26E2"/>
    <w:rsid w:val="00FA6E3F"/>
    <w:rsid w:val="00FB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F702-A801-46CD-8E12-84EBD49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C48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3">
    <w:name w:val="A13"/>
    <w:uiPriority w:val="99"/>
    <w:rsid w:val="00DF7D50"/>
    <w:rPr>
      <w:rFonts w:cs="ITC Franklin Gothic Std Bk Cd"/>
      <w:color w:val="000000"/>
    </w:rPr>
  </w:style>
  <w:style w:type="paragraph" w:styleId="ListParagraph">
    <w:name w:val="List Paragraph"/>
    <w:basedOn w:val="Normal"/>
    <w:uiPriority w:val="34"/>
    <w:qFormat/>
    <w:rsid w:val="00DF7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6DF"/>
  </w:style>
  <w:style w:type="paragraph" w:styleId="Footer">
    <w:name w:val="footer"/>
    <w:basedOn w:val="Normal"/>
    <w:link w:val="FooterChar"/>
    <w:uiPriority w:val="99"/>
    <w:unhideWhenUsed/>
    <w:rsid w:val="006D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6DF"/>
  </w:style>
  <w:style w:type="character" w:styleId="Hyperlink">
    <w:name w:val="Hyperlink"/>
    <w:basedOn w:val="DefaultParagraphFont"/>
    <w:uiPriority w:val="99"/>
    <w:unhideWhenUsed/>
    <w:rsid w:val="00284D33"/>
    <w:rPr>
      <w:color w:val="0563C1" w:themeColor="hyperlink"/>
      <w:u w:val="single"/>
    </w:rPr>
  </w:style>
  <w:style w:type="paragraph" w:customStyle="1" w:styleId="Pa6">
    <w:name w:val="Pa6"/>
    <w:basedOn w:val="Default"/>
    <w:next w:val="Default"/>
    <w:uiPriority w:val="99"/>
    <w:rsid w:val="005A2C4C"/>
    <w:pPr>
      <w:spacing w:line="201" w:lineRule="atLeast"/>
    </w:pPr>
    <w:rPr>
      <w:rFonts w:ascii="ITC Franklin Gothic Std Bk Cd" w:hAnsi="ITC Franklin Gothic Std Bk C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.yale.edu/" TargetMode="External"/><Relationship Id="rId13" Type="http://schemas.openxmlformats.org/officeDocument/2006/relationships/hyperlink" Target="http://www.gtlcenter.org/sites/default/files/TeachingtheWholeChil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el.org" TargetMode="External"/><Relationship Id="rId12" Type="http://schemas.openxmlformats.org/officeDocument/2006/relationships/hyperlink" Target="http://www.gtlcenter.org/sites/default/files/TeachingtheWholeChild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dshealth.org/parent/emotions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rib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lcenter.org/sel-schoo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Ketner</dc:creator>
  <cp:keywords/>
  <dc:description/>
  <cp:lastModifiedBy>Brian Ketner</cp:lastModifiedBy>
  <cp:revision>17</cp:revision>
  <dcterms:created xsi:type="dcterms:W3CDTF">2014-05-17T18:27:00Z</dcterms:created>
  <dcterms:modified xsi:type="dcterms:W3CDTF">2014-06-09T17:04:00Z</dcterms:modified>
</cp:coreProperties>
</file>